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righ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ПРОЄКТ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  <w:drawing>
          <wp:inline distB="0" distT="0" distL="114300" distR="114300">
            <wp:extent cx="448310" cy="609600"/>
            <wp:effectExtent b="0" l="0" r="0" t="0"/>
            <wp:docPr id="1026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48310" cy="6096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СКВИРСЬКА МІСЬКА РАДА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4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4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Р І Ш Е Н Н 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4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від ___________ 2023 року              м. Сквира                                №       -VIII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7.204724409448886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Про намір передати в оренду нерухоме майно комунальної власності Сквирської міської ради частину нежитлового приміщення будинку культури загальною площею 3,0 кв.м по вул. Центральна, 37а в 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7.204724409448886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с.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Самгородок Білоцерківського району Київської області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  <w:rtl w:val="0"/>
        </w:rPr>
        <w:t xml:space="preserve">З метою підвищення ефективності використання об’єктів нерухомого майна комунальної власності Сквирської міської ради, відповідно до статті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6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ff0000"/>
          <w:sz w:val="28"/>
          <w:szCs w:val="28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  <w:rtl w:val="0"/>
        </w:rPr>
        <w:t xml:space="preserve">Закону України «Про оренду державного та комунального майна», враховуючи рішення сесії Сквирської міської ради від ________ 2023 року № _________ «Про затвердження Переліків першого та другого типів об’єктів комунальної власності Сквирської міської територіальної громади, що підлягають передачі в оренду, в новій редакції», керуючись статтями 26 та 60 Закону України «Про місцеве самоврядування в Україні», враховуючи </w:t>
      </w:r>
      <w:r w:rsidDel="00000000" w:rsidR="00000000" w:rsidRPr="00000000">
        <w:rPr>
          <w:rFonts w:ascii="Times New Roman" w:cs="Times New Roman" w:eastAsia="Times New Roman" w:hAnsi="Times New Roman"/>
          <w:color w:val="333333"/>
          <w:sz w:val="28"/>
          <w:szCs w:val="28"/>
          <w:rtl w:val="0"/>
        </w:rPr>
        <w:t xml:space="preserve">рекомендації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  <w:rtl w:val="0"/>
        </w:rPr>
        <w:t xml:space="preserve"> постійн</w:t>
      </w:r>
      <w:r w:rsidDel="00000000" w:rsidR="00000000" w:rsidRPr="00000000">
        <w:rPr>
          <w:rFonts w:ascii="Times New Roman" w:cs="Times New Roman" w:eastAsia="Times New Roman" w:hAnsi="Times New Roman"/>
          <w:color w:val="333333"/>
          <w:sz w:val="28"/>
          <w:szCs w:val="28"/>
          <w:rtl w:val="0"/>
        </w:rPr>
        <w:t xml:space="preserve">их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  <w:rtl w:val="0"/>
        </w:rPr>
        <w:t xml:space="preserve"> комісі</w:t>
      </w:r>
      <w:r w:rsidDel="00000000" w:rsidR="00000000" w:rsidRPr="00000000">
        <w:rPr>
          <w:rFonts w:ascii="Times New Roman" w:cs="Times New Roman" w:eastAsia="Times New Roman" w:hAnsi="Times New Roman"/>
          <w:color w:val="333333"/>
          <w:sz w:val="28"/>
          <w:szCs w:val="28"/>
          <w:rtl w:val="0"/>
        </w:rPr>
        <w:t xml:space="preserve">й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333333"/>
          <w:sz w:val="28"/>
          <w:szCs w:val="28"/>
          <w:rtl w:val="0"/>
        </w:rPr>
        <w:t xml:space="preserve">міської ради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  <w:rtl w:val="0"/>
        </w:rPr>
        <w:t xml:space="preserve">, Сквирська міська рада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  <w:rtl w:val="0"/>
        </w:rPr>
        <w:t xml:space="preserve">VIII скликання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  <w:rtl w:val="0"/>
        </w:rPr>
        <w:t xml:space="preserve">В И Р І Ш И Л А: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567"/>
        <w:jc w:val="center"/>
        <w:rPr>
          <w:rFonts w:ascii="Times New Roman" w:cs="Times New Roman" w:eastAsia="Times New Roman" w:hAnsi="Times New Roman"/>
          <w:b w:val="1"/>
          <w:color w:val="333333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1. Передати в оренду з проведенням аукціону об’єкт нерухомого майна комунальної власності – частину нежитлового приміщення будинку культури (в приміщенні № 17), загальною площею 3,0 кв.м за адресою: вул. Центральна, 37а в с. Самгородок Білоцерківського району Київської області.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2. Визначити умови оренди об’єкта нерухомого майна комунальної власності, згідно додатку.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3. Відділу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капітального будівництва, комунальної власності та житлово-комунального господарства Сквирської міської ради здійснити дії  по передачі в оренду даного об’єкту та забезпечити оприлюднення оголошення про передачу в оренду та умови оренди в електронній системі згідно з діючим законодавством України.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4.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Контроль за виконанням рішення покласти на постійну депутатську комісію з питань комунального майна, житлово-комунального господарства, благоустрою та охорони навколишнього середовища. 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Міська голова                                                        Валентина ЛЕВІЦЬКА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69.291338582678" w:right="0" w:firstLine="0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Додаток 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5669.291338582678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до рішення міської ради 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69.291338582678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від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27.07.2023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№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-37-VІІІ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Умови оренди  нежитлового приміщення розташованого за адресою: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вул. Центральна, 37а в с. Самгородок Білоцерківського району 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Київської області</w:t>
      </w:r>
      <w:r w:rsidDel="00000000" w:rsidR="00000000" w:rsidRPr="00000000">
        <w:rPr>
          <w:rtl w:val="0"/>
        </w:rPr>
      </w:r>
    </w:p>
    <w:tbl>
      <w:tblPr>
        <w:tblStyle w:val="Table1"/>
        <w:tblW w:w="9639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686"/>
        <w:gridCol w:w="5953"/>
        <w:tblGridChange w:id="0">
          <w:tblGrid>
            <w:gridCol w:w="3686"/>
            <w:gridCol w:w="5953"/>
          </w:tblGrid>
        </w:tblGridChange>
      </w:tblGrid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Назва об’єкта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Частина нежитлового приміщення будинку культури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Орендодавець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Відділ капітального будівництва, комунальної власності та житлово-комунального господарства код ЄДРПОУ 44153671, вул. Карла Болсуновського, буд.28, м.Сквира, Білоцерківський район, Київська область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Балансоутримувач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Відділ культури, молоді і спорту Сквирської міської ради код ЄДРПОУ 44018352 вул. Карла Болсуновського,70 м.Сквира, Білоцерківський район, Київська область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Контактні дані працівника, відповідального за ознайомлення  з об’єктом оренди та час і місце проведення огляду об’єкту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Оксана Станіславівна Клебанівська, </w:t>
            </w:r>
          </w:p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тел. (04568) 5-22-68</w:t>
            </w:r>
          </w:p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e-mail: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vktur@ukr.net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вул. Київська,12, м.Сквира, Білоцерківський район, Київська область У робочі дні з 8.30 до 17.00, обідня перерва з 13.00 до 13.30</w:t>
            </w:r>
          </w:p>
        </w:tc>
      </w:tr>
      <w:tr>
        <w:trPr>
          <w:cantSplit w:val="0"/>
          <w:tblHeader w:val="0"/>
        </w:trPr>
        <w:tc>
          <w:tcPr>
            <w:gridSpan w:val="2"/>
            <w:vAlign w:val="top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2869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Інформація про об’єкт оренди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Тип Переліку, до якого включено об’єкт оренди 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Перелік першого типу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Балансова вартість об’єкта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Первісна балансова вартість – 3 523,21 грн </w:t>
            </w:r>
          </w:p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Залишкова балансова вартість об’єкта станом на 30.06.2023 року – 1 008,22 грн. 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Тип об’єкта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Нерухоме майно</w:t>
            </w:r>
          </w:p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22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Строк оренди 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Строк оренди -  5  років, </w:t>
            </w:r>
          </w:p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Інформація про наявність рішень про проведення інвестиційного конкурсу або включення  об’єкта до переліку майна, що підлягає приватизації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Відсутня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Інформація про отримання балансоутримувачем погодження  органу управління  балансоутримувача у випадках, коли  отримання такого погодження було необхідним відповідно до законодавства, статуту  або положення балансоутримувача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Не потребує</w:t>
            </w:r>
          </w:p>
        </w:tc>
      </w:tr>
    </w:tbl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639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402"/>
        <w:gridCol w:w="6237"/>
        <w:tblGridChange w:id="0">
          <w:tblGrid>
            <w:gridCol w:w="3402"/>
            <w:gridCol w:w="6237"/>
          </w:tblGrid>
        </w:tblGridChange>
      </w:tblGrid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Чи передбачається можливість передачі об’єкта в суборенду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Без права суборенди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Фотографічні матеріали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Додається окремим файлом</w:t>
            </w:r>
          </w:p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Загальна площа об’єкта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3,0 кв. м</w:t>
            </w:r>
          </w:p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Корисна площа об’єкта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3,0 кв. м </w:t>
            </w:r>
          </w:p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Інформація про арешти майна/застави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Відсутня</w:t>
            </w:r>
          </w:p>
          <w:p w:rsidR="00000000" w:rsidDel="00000000" w:rsidP="00000000" w:rsidRDefault="00000000" w:rsidRPr="00000000" w14:paraId="0000004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Характеристика об’єкта оренди (будівлі в цілому або частини будівлі із зазначенням розташування об’єкта в будівлі (надземний, цокольний технічний або мансардний поверх, номер поверху)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Частина нежитлового приміщення (в приміщенні № 17), розміщене в будинку культури – двоповерхової будівлі з надземним розташуванням 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Технічний стан об’єкта потужність електромережі і забезпечення об’єкта комунікаціями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Перебуває в придатному для використання стані.</w:t>
            </w:r>
          </w:p>
          <w:p w:rsidR="00000000" w:rsidDel="00000000" w:rsidP="00000000" w:rsidRDefault="00000000" w:rsidRPr="00000000" w14:paraId="0000005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Об’єкт оренди забезпечено необхідними комунікаціями.</w:t>
            </w:r>
          </w:p>
          <w:p w:rsidR="00000000" w:rsidDel="00000000" w:rsidP="00000000" w:rsidRDefault="00000000" w:rsidRPr="00000000" w14:paraId="0000005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Поверховий план об’єкта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Додається окремим файлом</w:t>
            </w:r>
          </w:p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5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Інформація про те, що об’єктом оренди є пам’ятка культурної спадщини та інформація про отримання погодження органу охорони культурної спадщини на передачу об’єкта в оренду</w:t>
            </w:r>
          </w:p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Об’єкт не є пам’яткою культурної спадщини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Інформація про цільове призначення 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Для здійснення господарської діяльності з надання електронних комунікаційних послуг</w:t>
            </w:r>
          </w:p>
          <w:p w:rsidR="00000000" w:rsidDel="00000000" w:rsidP="00000000" w:rsidRDefault="00000000" w:rsidRPr="00000000" w14:paraId="0000006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6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Інформація про компенсацію витрат на оплату комунальних послуг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Орендар відшкодовує балансоутримувачу витрати на оплату комунальних послуг відповідно до договору.</w:t>
            </w:r>
          </w:p>
        </w:tc>
      </w:tr>
      <w:tr>
        <w:trPr>
          <w:cantSplit w:val="0"/>
          <w:tblHeader w:val="0"/>
        </w:trPr>
        <w:tc>
          <w:tcPr>
            <w:gridSpan w:val="2"/>
            <w:vAlign w:val="top"/>
          </w:tcPr>
          <w:p w:rsidR="00000000" w:rsidDel="00000000" w:rsidP="00000000" w:rsidRDefault="00000000" w:rsidRPr="00000000" w14:paraId="0000006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Відповідно до статті 13 Закону України « Про оренду державного та комунального майна» майно передається в оренду з проведення аукціону</w:t>
            </w:r>
          </w:p>
          <w:p w:rsidR="00000000" w:rsidDel="00000000" w:rsidP="00000000" w:rsidRDefault="00000000" w:rsidRPr="00000000" w14:paraId="0000006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639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305"/>
        <w:gridCol w:w="239"/>
        <w:gridCol w:w="6095"/>
        <w:tblGridChange w:id="0">
          <w:tblGrid>
            <w:gridCol w:w="3305"/>
            <w:gridCol w:w="239"/>
            <w:gridCol w:w="6095"/>
          </w:tblGrid>
        </w:tblGridChange>
      </w:tblGrid>
      <w:tr>
        <w:trPr>
          <w:cantSplit w:val="0"/>
          <w:tblHeader w:val="0"/>
        </w:trPr>
        <w:tc>
          <w:tcPr>
            <w:gridSpan w:val="2"/>
            <w:vAlign w:val="top"/>
          </w:tcPr>
          <w:p w:rsidR="00000000" w:rsidDel="00000000" w:rsidP="00000000" w:rsidRDefault="00000000" w:rsidRPr="00000000" w14:paraId="0000006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Орендна плата, визначена на підставі Методики розрахунку </w:t>
            </w:r>
          </w:p>
          <w:p w:rsidR="00000000" w:rsidDel="00000000" w:rsidP="00000000" w:rsidRDefault="00000000" w:rsidRPr="00000000" w14:paraId="0000006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Орендної плати за державне майно, затвердженої Постановою КМУ від 28 квітня 2021 року №630(далі Методика)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На аукціоні </w:t>
            </w:r>
          </w:p>
        </w:tc>
      </w:tr>
      <w:tr>
        <w:trPr>
          <w:cantSplit w:val="0"/>
          <w:tblHeader w:val="0"/>
        </w:trPr>
        <w:tc>
          <w:tcPr>
            <w:gridSpan w:val="2"/>
            <w:vAlign w:val="top"/>
          </w:tcPr>
          <w:p w:rsidR="00000000" w:rsidDel="00000000" w:rsidP="00000000" w:rsidRDefault="00000000" w:rsidRPr="00000000" w14:paraId="0000006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Інформація про нарахування ПДВ 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ПДВ не нараховується</w:t>
            </w:r>
          </w:p>
        </w:tc>
      </w:tr>
      <w:tr>
        <w:trPr>
          <w:cantSplit w:val="0"/>
          <w:tblHeader w:val="0"/>
        </w:trPr>
        <w:tc>
          <w:tcPr>
            <w:gridSpan w:val="2"/>
            <w:vAlign w:val="top"/>
          </w:tcPr>
          <w:p w:rsidR="00000000" w:rsidDel="00000000" w:rsidP="00000000" w:rsidRDefault="00000000" w:rsidRPr="00000000" w14:paraId="0000007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Найменування установи (банку, казначейства), її місцезнаходження та номери рахунків у національній та іноземній валюті, відкритих для внесення розрахунків за орендовані об’єкти</w:t>
            </w:r>
          </w:p>
          <w:p w:rsidR="00000000" w:rsidDel="00000000" w:rsidP="00000000" w:rsidRDefault="00000000" w:rsidRPr="00000000" w14:paraId="0000007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UA118999980334109850000010844, отримувач</w:t>
            </w:r>
          </w:p>
          <w:p w:rsidR="00000000" w:rsidDel="00000000" w:rsidP="00000000" w:rsidRDefault="00000000" w:rsidRPr="00000000" w14:paraId="0000007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ГУК у Київ.обл/Сквирська міс/22080402</w:t>
            </w:r>
          </w:p>
          <w:p w:rsidR="00000000" w:rsidDel="00000000" w:rsidP="00000000" w:rsidRDefault="00000000" w:rsidRPr="00000000" w14:paraId="0000007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код отримувача ЄДРПОУ 37955989, банк отримувача Казначейство України (ел.адм.подат.)</w:t>
            </w:r>
          </w:p>
        </w:tc>
      </w:tr>
      <w:tr>
        <w:trPr>
          <w:cantSplit w:val="0"/>
          <w:tblHeader w:val="0"/>
        </w:trPr>
        <w:tc>
          <w:tcPr>
            <w:gridSpan w:val="3"/>
            <w:vAlign w:val="top"/>
          </w:tcPr>
          <w:p w:rsidR="00000000" w:rsidDel="00000000" w:rsidP="00000000" w:rsidRDefault="00000000" w:rsidRPr="00000000" w14:paraId="0000007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2869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Додаткові умови оренди </w:t>
            </w:r>
          </w:p>
          <w:p w:rsidR="00000000" w:rsidDel="00000000" w:rsidP="00000000" w:rsidRDefault="00000000" w:rsidRPr="00000000" w14:paraId="0000007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7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Перелік додаткових умов оренди, з переліку, що визначений абз. 4 п. 55 Порядку передачі в оренду державного та комунального майна</w:t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7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Відсутні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7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Дата та номер рішення про затвердження додаткових умов оренди</w:t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7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Відсутні</w:t>
            </w:r>
          </w:p>
        </w:tc>
      </w:tr>
      <w:tr>
        <w:trPr>
          <w:cantSplit w:val="0"/>
          <w:tblHeader w:val="0"/>
        </w:trPr>
        <w:tc>
          <w:tcPr>
            <w:gridSpan w:val="3"/>
            <w:vAlign w:val="top"/>
          </w:tcPr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2869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Додаткова інформація</w:t>
            </w:r>
          </w:p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2869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8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Наявність згоди на здійснення поточного та / або капітального ремонту орендованого майна під час встановлення додаткової умови оренди щодо виконання конкретних видів ремонтних робіт, реконструкції або реставрації об’єкта оренди</w:t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8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Проведення ремонтних робіт за окремим зверненням орендаря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8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Інформація про необхідність відповідності орендаря вимогам статті 4 Закону України «Про оренду державного та комунального майна»</w:t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8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Потенційний орендар повинен відповідати вимогам до особи орендаря, визначеним статтею 4 «Про оренду державного та комунального майна»</w:t>
            </w:r>
          </w:p>
          <w:p w:rsidR="00000000" w:rsidDel="00000000" w:rsidP="00000000" w:rsidRDefault="00000000" w:rsidRPr="00000000" w14:paraId="0000008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804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9639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305"/>
        <w:gridCol w:w="6334"/>
        <w:tblGridChange w:id="0">
          <w:tblGrid>
            <w:gridCol w:w="3305"/>
            <w:gridCol w:w="6334"/>
          </w:tblGrid>
        </w:tblGridChange>
      </w:tblGrid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8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Копія охоронного договору, якщо об’єктом оренди є пам’ятка, якщо об’єктом оренди є занедбана пам’ятка, також копія згоди (дозволу) на здійснення ремонту, реставрації, яка дає право на зарахування витрат орендаря в рахунок орендної плати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Відсутній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8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Інша додаткова інформація, визначена орендодавцем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9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Відсутня</w:t>
            </w:r>
          </w:p>
        </w:tc>
      </w:tr>
    </w:tbl>
    <w:p w:rsidR="00000000" w:rsidDel="00000000" w:rsidP="00000000" w:rsidRDefault="00000000" w:rsidRPr="00000000" w14:paraId="0000009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hanging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-142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Начальниця відділу капітального </w:t>
      </w:r>
    </w:p>
    <w:p w:rsidR="00000000" w:rsidDel="00000000" w:rsidP="00000000" w:rsidRDefault="00000000" w:rsidRPr="00000000" w14:paraId="0000009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-142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будівництва, комунального майна та </w:t>
      </w:r>
    </w:p>
    <w:p w:rsidR="00000000" w:rsidDel="00000000" w:rsidP="00000000" w:rsidRDefault="00000000" w:rsidRPr="00000000" w14:paraId="0000009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6225"/>
        </w:tabs>
        <w:spacing w:after="0" w:before="0" w:line="240" w:lineRule="auto"/>
        <w:ind w:left="0" w:right="0" w:hanging="142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житлово - комунального господарства </w:t>
      </w:r>
    </w:p>
    <w:p w:rsidR="00000000" w:rsidDel="00000000" w:rsidP="00000000" w:rsidRDefault="00000000" w:rsidRPr="00000000" w14:paraId="0000009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6225"/>
        </w:tabs>
        <w:spacing w:after="0" w:before="0" w:line="240" w:lineRule="auto"/>
        <w:ind w:left="0" w:right="0" w:hanging="142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міської ради                    </w:t>
        <w:tab/>
        <w:t xml:space="preserve">         Марина ТЕРНОВА</w:t>
      </w:r>
    </w:p>
    <w:p w:rsidR="00000000" w:rsidDel="00000000" w:rsidP="00000000" w:rsidRDefault="00000000" w:rsidRPr="00000000" w14:paraId="0000009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-142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ПОЯСНЮВАЛЬНА ЗАПИСКА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До проєкту рішення сесії Сквирської міської ради «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  <w:rtl w:val="0"/>
        </w:rPr>
        <w:t xml:space="preserve">Про намір передати в оренду нерухоме майно комунальної власності Сквирської міської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  <w:rtl w:val="0"/>
        </w:rPr>
        <w:t xml:space="preserve">ради частину нежитлового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приміщення будинку культури загальною площею 3,0 кв.м по вул. Центральна, 37а в с. Самгородок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  <w:rtl w:val="0"/>
        </w:rPr>
        <w:t xml:space="preserve">Білоцерківського району Київської області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»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Обгрунтування необхідності прийняття рішення.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Звернення ТОВ «ЛАНЕТ ТЕЛЕКОМ» 07.07.2023 Р. № 05/01-0707/2023з про можливість надання в оренди нерухомого майна, що належить до комунальної власності Сквирської міської ради – частину нежитлового приміщення будинку культури (в приміщенні № 17),загальною площею 3,0 кв.м. за адресою: вул. Центральна, 37а в с. Самгородок, Білоцерківського району, Київської області. Підстава розроблення проєкту – статті 26 та 60 Закону України «Про місцеве самоврядування в Україні», положення Закону України «Про оренду державного та комунального майна», Порядку передачі в оренду державного та комунального майна, затвердженого постановою Кабінету Міністрів України № 483 від 03.06.2020 «Деякі питання оренди державного та комунального майна».</w:t>
      </w:r>
    </w:p>
    <w:p w:rsidR="00000000" w:rsidDel="00000000" w:rsidP="00000000" w:rsidRDefault="00000000" w:rsidRPr="00000000" w14:paraId="0000009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Статтею 6 Закону України «Про оренду державного та комунального майна» та Порядку передачі в оренду державного та комунального майна, затвердженого постановою Кабінету Міністрів України № 483 від 03.06.2020 «Деякі питання оренди державного та комунального майна» встановлено, що підставою для оренди будь-якого об’єкта, що належить до державної та комунальної власності є прийняття рішення щодо наміру передачі майна в оренду.</w:t>
      </w:r>
    </w:p>
    <w:p w:rsidR="00000000" w:rsidDel="00000000" w:rsidP="00000000" w:rsidRDefault="00000000" w:rsidRPr="00000000" w14:paraId="0000009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Таким чином,з метою підвищення ефективності використання майна, що належить до комунальної власності громади, доцільним є передача об’єктів нерухомого майна в строкове платне користування. За таких обставин, задля можливості передачі в оренду об’єктів нерухомого майна, необхідним є прийняття рішення про намір передати об’єкт нерухомого майна комунальної власності в орендне користування.</w:t>
      </w:r>
    </w:p>
    <w:p w:rsidR="00000000" w:rsidDel="00000000" w:rsidP="00000000" w:rsidRDefault="00000000" w:rsidRPr="00000000" w14:paraId="0000009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2. Мета і завдання прийняття рішення.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Мета проекту – підвищення ефективності використання майна, що належить до комунальної власності громади, збільшення надходжень до місцевого бюджету від передачі об’єктів в оренду, а також забезпечення збереження і належного використання орендованих приміщень.</w:t>
      </w:r>
    </w:p>
    <w:p w:rsidR="00000000" w:rsidDel="00000000" w:rsidP="00000000" w:rsidRDefault="00000000" w:rsidRPr="00000000" w14:paraId="000000A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Завданням прийняття рішення є прийняття рішення про намір передати об’єкт нерухомого майна в оренду.</w:t>
      </w:r>
    </w:p>
    <w:p w:rsidR="00000000" w:rsidDel="00000000" w:rsidP="00000000" w:rsidRDefault="00000000" w:rsidRPr="00000000" w14:paraId="000000A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3. Загальна характеристика та основні положення проекту рішення.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З юридичної точки зору – це рішення є актом організаційно-розпорядчого характеру міської ради, як власника майна – Сквирської міської ради та як уповноваженого органу з управління комунальним майном – відділу капітального будівництва, комунальної власності та ЖКГ.</w:t>
      </w:r>
    </w:p>
    <w:p w:rsidR="00000000" w:rsidDel="00000000" w:rsidP="00000000" w:rsidRDefault="00000000" w:rsidRPr="00000000" w14:paraId="000000A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4. Стан нормативно-правової бази у даній сфері правового регулювання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0A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Це питання регулюється відповідно до статей 26, 60 Закону України «Про місцеве самоврядування в Україні», Законом України «Про оренду державного та комунального майна», Порядком передачі в оренду державного та комунального майна, затвердженим постановою Кабінету Міністрів України    № 483 від 03.06.2020 «Деякі питання оренди державного та комунального майна».</w:t>
      </w:r>
    </w:p>
    <w:p w:rsidR="00000000" w:rsidDel="00000000" w:rsidP="00000000" w:rsidRDefault="00000000" w:rsidRPr="00000000" w14:paraId="000000A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5. Прогноз соціально-економічних та інших наслідків прийняття рішення.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З економічної точки зору – рішення має забезпечити ефективне та цільове використання майна, згідно вимог чинного законодавства. Реалізація зазначеного акту не потребує додаткового фінансування з місцевого бюджету.</w:t>
      </w:r>
    </w:p>
    <w:p w:rsidR="00000000" w:rsidDel="00000000" w:rsidP="00000000" w:rsidRDefault="00000000" w:rsidRPr="00000000" w14:paraId="000000A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Начальниця відділу                                                            Марина ТЕРНОВА</w:t>
      </w:r>
    </w:p>
    <w:p w:rsidR="00000000" w:rsidDel="00000000" w:rsidP="00000000" w:rsidRDefault="00000000" w:rsidRPr="00000000" w14:paraId="000000B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280" w:before="28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Лист розсилки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280" w:before="28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до проєкту рішення “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  <w:rtl w:val="0"/>
        </w:rPr>
        <w:t xml:space="preserve">Про намір передати в оренду частину нежитлового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приміщення будинку культури загальною площею 3,0 кв.м по вул. Центральна, 37а в с. Самгородок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  <w:rtl w:val="0"/>
        </w:rPr>
        <w:t xml:space="preserve">Білоцерківського району Київської області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highlight w:val="white"/>
          <w:u w:val="none"/>
          <w:vertAlign w:val="baseline"/>
          <w:rtl w:val="0"/>
        </w:rPr>
        <w:t xml:space="preserve">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72" w:line="242" w:lineRule="auto"/>
        <w:ind w:left="0" w:right="141" w:hanging="2"/>
        <w:jc w:val="righ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9060.0" w:type="dxa"/>
        <w:jc w:val="left"/>
        <w:tblInd w:w="317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675"/>
        <w:gridCol w:w="3148"/>
        <w:gridCol w:w="1417"/>
        <w:gridCol w:w="2127"/>
        <w:gridCol w:w="1693"/>
        <w:tblGridChange w:id="0">
          <w:tblGrid>
            <w:gridCol w:w="675"/>
            <w:gridCol w:w="3148"/>
            <w:gridCol w:w="1417"/>
            <w:gridCol w:w="2127"/>
            <w:gridCol w:w="1693"/>
          </w:tblGrid>
        </w:tblGridChange>
      </w:tblGrid>
      <w:tr>
        <w:trPr>
          <w:cantSplit w:val="0"/>
          <w:trHeight w:val="80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D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№ з/п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D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Посада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D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ПІБ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D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Електронна адреса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D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Кількість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D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1.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D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Головний спеціаліст з відділу капітального будівництва, комунальної власності та ЖКГ Сквирcької міської ради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D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Болтівець О.А.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D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Kap_bud2021@ukr.net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D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1 (оригінал)</w:t>
            </w:r>
          </w:p>
        </w:tc>
      </w:tr>
    </w:tbl>
    <w:p w:rsidR="00000000" w:rsidDel="00000000" w:rsidP="00000000" w:rsidRDefault="00000000" w:rsidRPr="00000000" w14:paraId="000000D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80" w:before="28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80" w:before="28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Начальниця відділу                                                            Марина ТЕРНОВА</w:t>
      </w:r>
    </w:p>
    <w:p w:rsidR="00000000" w:rsidDel="00000000" w:rsidP="00000000" w:rsidRDefault="00000000" w:rsidRPr="00000000" w14:paraId="000000E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824.6456692913421" w:top="850.3937007874016" w:left="1701" w:right="577.2047244094489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Обычный">
    <w:name w:val="Обычный"/>
    <w:next w:val="Обычный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Times New Roman" w:hAnsi="Times New Roman"/>
      <w:color w:val="000000"/>
      <w:w w:val="87"/>
      <w:position w:val="-1"/>
      <w:sz w:val="28"/>
      <w:szCs w:val="28"/>
      <w:effect w:val="none"/>
      <w:vertAlign w:val="baseline"/>
      <w:cs w:val="0"/>
      <w:em w:val="none"/>
      <w:lang w:bidi="ar-SA" w:eastAsia="ru-RU" w:val="uk-UA"/>
    </w:rPr>
  </w:style>
  <w:style w:type="character" w:styleId="Основнойшрифтабзаца">
    <w:name w:val="Основной шрифт абзаца"/>
    <w:next w:val="Основнойшрифтабзаца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table" w:styleId="Обычнаятаблица">
    <w:name w:val="Обычная таблица"/>
    <w:next w:val="Обычнаятаблица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Нетсписка">
    <w:name w:val="Нет списка"/>
    <w:next w:val="Нетсписка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paragraph" w:styleId="Обычный(Интернет),Обычный(веб)">
    <w:name w:val="Обычный (Интернет),Обычный (веб)"/>
    <w:basedOn w:val="Обычный"/>
    <w:next w:val="Обычный(Интернет),Обычный(веб)"/>
    <w:autoRedefine w:val="0"/>
    <w:hidden w:val="0"/>
    <w:qFormat w:val="0"/>
    <w:pPr>
      <w:suppressAutoHyphens w:val="1"/>
      <w:spacing w:after="100" w:afterAutospacing="1" w:before="100" w:beforeAutospacing="1" w:line="1" w:lineRule="atLeast"/>
      <w:ind w:leftChars="-1" w:rightChars="0" w:firstLineChars="-1"/>
      <w:textDirection w:val="btLr"/>
      <w:textAlignment w:val="top"/>
      <w:outlineLvl w:val="0"/>
    </w:pPr>
    <w:rPr>
      <w:rFonts w:ascii="Times New Roman" w:hAnsi="Times New Roman"/>
      <w:color w:val="auto"/>
      <w:w w:val="100"/>
      <w:position w:val="-1"/>
      <w:sz w:val="24"/>
      <w:szCs w:val="24"/>
      <w:effect w:val="none"/>
      <w:vertAlign w:val="baseline"/>
      <w:cs w:val="0"/>
      <w:em w:val="none"/>
      <w:lang w:bidi="ar-SA" w:eastAsia="ru-RU" w:val="ru-RU"/>
    </w:rPr>
  </w:style>
  <w:style w:type="paragraph" w:styleId="Названиеобъекта">
    <w:name w:val="Название объекта"/>
    <w:basedOn w:val="Обычный"/>
    <w:next w:val="Обычный"/>
    <w:autoRedefine w:val="0"/>
    <w:hidden w:val="0"/>
    <w:qFormat w:val="0"/>
    <w:pPr>
      <w:suppressAutoHyphens w:val="1"/>
      <w:spacing w:after="240" w:line="1" w:lineRule="atLeast"/>
      <w:ind w:left="720" w:leftChars="-1" w:rightChars="0" w:hanging="720" w:firstLineChars="-1"/>
      <w:jc w:val="center"/>
      <w:textDirection w:val="btLr"/>
      <w:textAlignment w:val="top"/>
      <w:outlineLvl w:val="0"/>
    </w:pPr>
    <w:rPr>
      <w:rFonts w:ascii="Times New Roman" w:hAnsi="Times New Roman"/>
      <w:color w:val="auto"/>
      <w:w w:val="100"/>
      <w:position w:val="-1"/>
      <w:sz w:val="32"/>
      <w:szCs w:val="32"/>
      <w:effect w:val="none"/>
      <w:vertAlign w:val="baseline"/>
      <w:cs w:val="0"/>
      <w:em w:val="none"/>
      <w:lang w:bidi="ar-SA" w:eastAsia="ru-RU" w:val="uk-UA"/>
    </w:rPr>
  </w:style>
  <w:style w:type="paragraph" w:styleId="Текствыноски">
    <w:name w:val="Текст выноски"/>
    <w:basedOn w:val="Обычный"/>
    <w:next w:val="Текствыноски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Tahoma" w:cs="Tahoma" w:hAnsi="Tahoma"/>
      <w:color w:val="000000"/>
      <w:w w:val="87"/>
      <w:position w:val="-1"/>
      <w:sz w:val="16"/>
      <w:szCs w:val="16"/>
      <w:effect w:val="none"/>
      <w:vertAlign w:val="baseline"/>
      <w:cs w:val="0"/>
      <w:em w:val="none"/>
      <w:lang w:bidi="ar-SA" w:eastAsia="ru-RU" w:val="uk-UA"/>
    </w:rPr>
  </w:style>
  <w:style w:type="character" w:styleId="ТекствыноскиЗнак">
    <w:name w:val="Текст выноски Знак"/>
    <w:next w:val="ТекствыноскиЗнак"/>
    <w:autoRedefine w:val="0"/>
    <w:hidden w:val="0"/>
    <w:qFormat w:val="0"/>
    <w:rPr>
      <w:rFonts w:ascii="Tahoma" w:cs="Tahoma" w:hAnsi="Tahoma"/>
      <w:color w:val="000000"/>
      <w:w w:val="87"/>
      <w:position w:val="-1"/>
      <w:sz w:val="16"/>
      <w:szCs w:val="16"/>
      <w:effect w:val="none"/>
      <w:vertAlign w:val="baseline"/>
      <w:cs w:val="0"/>
      <w:em w:val="none"/>
      <w:lang w:eastAsia="ru-RU" w:val="uk-UA"/>
    </w:rPr>
  </w:style>
  <w:style w:type="character" w:styleId="Гиперссылка">
    <w:name w:val="Гиперссылка"/>
    <w:next w:val="Гиперссылка"/>
    <w:autoRedefine w:val="0"/>
    <w:hidden w:val="0"/>
    <w:qFormat w:val="0"/>
    <w:rPr>
      <w:color w:val="0000ff"/>
      <w:w w:val="100"/>
      <w:position w:val="-1"/>
      <w:u w:val="single"/>
      <w:effect w:val="none"/>
      <w:vertAlign w:val="baseline"/>
      <w:cs w:val="0"/>
      <w:em w:val="none"/>
      <w:lang/>
    </w:rPr>
  </w:style>
  <w:style w:type="table" w:styleId="Сеткатаблицы">
    <w:name w:val="Сетка таблицы"/>
    <w:basedOn w:val="Обычнаятаблица"/>
    <w:next w:val="Сеткатаблицы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 w:bidi="ar-SA" w:eastAsia="ru-RU" w:val="ru-RU"/>
    </w:rPr>
    <w:tblPr>
      <w:tblStyle w:val="Сеткатаблицы"/>
      <w:jc w:val="left"/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type="paragraph" w:styleId="Заголовок1">
    <w:name w:val="Заголовок1"/>
    <w:basedOn w:val="Обычный"/>
    <w:next w:val="Основнойтекст"/>
    <w:autoRedefine w:val="0"/>
    <w:hidden w:val="0"/>
    <w:qFormat w:val="0"/>
    <w:pPr>
      <w:suppressAutoHyphens w:val="0"/>
      <w:spacing w:line="1" w:lineRule="atLeast"/>
      <w:ind w:leftChars="-1" w:rightChars="0" w:firstLineChars="-1"/>
      <w:jc w:val="center"/>
      <w:textDirection w:val="btLr"/>
      <w:textAlignment w:val="top"/>
      <w:outlineLvl w:val="0"/>
    </w:pPr>
    <w:rPr>
      <w:rFonts w:ascii="Times New Roman" w:eastAsia="Times New Roman" w:hAnsi="Times New Roman"/>
      <w:b w:val="1"/>
      <w:bCs w:val="1"/>
      <w:color w:val="auto"/>
      <w:w w:val="100"/>
      <w:position w:val="-1"/>
      <w:sz w:val="24"/>
      <w:szCs w:val="24"/>
      <w:effect w:val="none"/>
      <w:vertAlign w:val="baseline"/>
      <w:cs w:val="0"/>
      <w:em w:val="none"/>
      <w:lang w:bidi="ar-SA" w:eastAsia="zh-CN" w:val="uk-UA"/>
    </w:rPr>
  </w:style>
  <w:style w:type="paragraph" w:styleId="Основнойтекст">
    <w:name w:val="Основной текст"/>
    <w:basedOn w:val="Обычный"/>
    <w:next w:val="Основнойтекст"/>
    <w:autoRedefine w:val="0"/>
    <w:hidden w:val="0"/>
    <w:qFormat w:val="0"/>
    <w:pPr>
      <w:suppressAutoHyphens w:val="1"/>
      <w:spacing w:after="120" w:line="1" w:lineRule="atLeast"/>
      <w:ind w:leftChars="-1" w:rightChars="0" w:firstLineChars="-1"/>
      <w:textDirection w:val="btLr"/>
      <w:textAlignment w:val="top"/>
      <w:outlineLvl w:val="0"/>
    </w:pPr>
    <w:rPr>
      <w:rFonts w:ascii="Times New Roman" w:hAnsi="Times New Roman"/>
      <w:color w:val="000000"/>
      <w:w w:val="87"/>
      <w:position w:val="-1"/>
      <w:sz w:val="28"/>
      <w:szCs w:val="28"/>
      <w:effect w:val="none"/>
      <w:vertAlign w:val="baseline"/>
      <w:cs w:val="0"/>
      <w:em w:val="none"/>
      <w:lang w:bidi="ar-SA" w:eastAsia="ru-RU" w:val="uk-UA"/>
    </w:rPr>
  </w:style>
  <w:style w:type="character" w:styleId="ОсновнойтекстЗнак">
    <w:name w:val="Основной текст Знак"/>
    <w:next w:val="ОсновнойтекстЗнак"/>
    <w:autoRedefine w:val="0"/>
    <w:hidden w:val="0"/>
    <w:qFormat w:val="0"/>
    <w:rPr>
      <w:rFonts w:ascii="Times New Roman" w:hAnsi="Times New Roman"/>
      <w:color w:val="000000"/>
      <w:w w:val="87"/>
      <w:position w:val="-1"/>
      <w:sz w:val="28"/>
      <w:szCs w:val="28"/>
      <w:effect w:val="none"/>
      <w:vertAlign w:val="baseline"/>
      <w:cs w:val="0"/>
      <w:em w:val="none"/>
      <w:lang w:eastAsia="ru-RU"/>
    </w:rPr>
  </w:style>
  <w:style w:type="paragraph" w:styleId="Безинтервала">
    <w:name w:val="Без интервала"/>
    <w:next w:val="Безинтервала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Times New Roman" w:hAnsi="Times New Roman"/>
      <w:color w:val="000000"/>
      <w:w w:val="87"/>
      <w:position w:val="-1"/>
      <w:sz w:val="28"/>
      <w:szCs w:val="28"/>
      <w:effect w:val="none"/>
      <w:vertAlign w:val="baseline"/>
      <w:cs w:val="0"/>
      <w:em w:val="none"/>
      <w:lang w:bidi="ar-SA" w:eastAsia="ru-RU" w:val="uk-UA"/>
    </w:rPr>
  </w:style>
  <w:style w:type="character" w:styleId="Строгий,обычный">
    <w:name w:val="Строгий,обычный"/>
    <w:next w:val="Строгий,обычный"/>
    <w:autoRedefine w:val="0"/>
    <w:hidden w:val="0"/>
    <w:qFormat w:val="0"/>
    <w:rPr>
      <w:b w:val="1"/>
      <w:bCs w:val="1"/>
      <w:w w:val="100"/>
      <w:position w:val="-1"/>
      <w:effect w:val="none"/>
      <w:vertAlign w:val="baseline"/>
      <w:cs w:val="0"/>
      <w:em w:val="none"/>
      <w:lang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FwdG/W2B7f5RPHPmBkLI6cG9qWQ==">CgMxLjA4AHIhMWtrTHhfRW1EWDhpRV9ObGVnX2ZNNElmenY5Xzd2Zy04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2021-09-06T07:36:00Z</dcterms:created>
  <dc:creator>User</dc:creator>
</cp:coreProperties>
</file>